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8"/>
          <w:szCs w:val="28"/>
        </w:rPr>
      </w:pPr>
      <w:r>
        <w:rPr>
          <w:rFonts w:hint="eastAsia"/>
          <w:b/>
          <w:bCs/>
          <w:sz w:val="28"/>
          <w:szCs w:val="28"/>
        </w:rPr>
        <w:t>附件1：大学生必读100书籍参考推荐</w:t>
      </w:r>
    </w:p>
    <w:p>
      <w:pPr>
        <w:spacing w:line="360" w:lineRule="auto"/>
        <w:rPr>
          <w:b/>
          <w:bCs/>
          <w:sz w:val="28"/>
          <w:szCs w:val="28"/>
        </w:rPr>
      </w:pPr>
    </w:p>
    <w:tbl>
      <w:tblPr>
        <w:tblStyle w:val="3"/>
        <w:tblW w:w="8288" w:type="dxa"/>
        <w:tblInd w:w="0" w:type="dxa"/>
        <w:tblLayout w:type="fixed"/>
        <w:tblCellMar>
          <w:top w:w="0" w:type="dxa"/>
          <w:left w:w="0" w:type="dxa"/>
          <w:bottom w:w="0" w:type="dxa"/>
          <w:right w:w="0" w:type="dxa"/>
        </w:tblCellMar>
      </w:tblPr>
      <w:tblGrid>
        <w:gridCol w:w="748"/>
        <w:gridCol w:w="7540"/>
      </w:tblGrid>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444444"/>
                <w:sz w:val="24"/>
                <w:szCs w:val="24"/>
              </w:rPr>
            </w:pPr>
            <w:r>
              <w:rPr>
                <w:rFonts w:hint="eastAsia" w:ascii="宋体" w:hAnsi="宋体" w:eastAsia="宋体" w:cs="宋体"/>
                <w:b/>
                <w:color w:val="444444"/>
                <w:kern w:val="0"/>
                <w:sz w:val="24"/>
                <w:szCs w:val="24"/>
              </w:rPr>
              <w:t>序号</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444444"/>
                <w:sz w:val="24"/>
                <w:szCs w:val="24"/>
              </w:rPr>
            </w:pPr>
            <w:r>
              <w:rPr>
                <w:rFonts w:hint="eastAsia" w:ascii="宋体" w:hAnsi="宋体" w:eastAsia="宋体" w:cs="宋体"/>
                <w:b/>
                <w:color w:val="444444"/>
                <w:kern w:val="0"/>
                <w:sz w:val="24"/>
                <w:szCs w:val="24"/>
              </w:rPr>
              <w:t>书单</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罗尔斯时代的代表作——《正义论》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文化分析的新视野——《资本主义文化矛盾》</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一部“巨型炸弹”之作——《第三次浪潮》</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史书之祖——《尚书》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兵学圣典——《孙子兵法》</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中国最早的哲学著作——《老子》</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世界上第一部寓言总集——《伊索寓言》</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儒家经典——《论语》</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拟圣而作的儒家经典——《孟子》</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西方最早的历史著作——《历史》</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世界上最古老的数学巨著——《几何原本》</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哲学家主宰下的等级社会——《理相国》</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希腊城邦国家制度的发轫——《政治学》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自由至上思想的经典之作——《庄子》</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世界上流传最广的宗教典籍——《圣经》</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“千古之绝作”——《史记》</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古代原子唯物主义杰作——《物性论》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中国最早的医学著作——《黄帝内经》</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中国最早的百科全书——《山海经》</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历史上的第一部算经——《九章算术》</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千古奇书载地理——《徐霞客游记》</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唯物主义和辩证法的代表著作——《伦理学》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民间文学史的一座金字塔——《一千零一夜》</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世界上第一部写实小说——《源氏物语》</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中国科学史上的坐标——《梦溪笔谈》</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把历史当做一面镜子的巨著——《资治通鉴》</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传播东方文明的见闻录——《马可·波罗游记》</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承前启后的伟大诗篇——《神曲》</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29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射向禁欲主义的一支利箭——《十日谈》</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中国第一部长篇白话历史小说——《三国演义》</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中国最早以农民起义为题材的小说——《水浒传》</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欧洲历代君主的案头之书——《君主论》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空想社会主义的奠基之作——《乌托邦》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自然科学独立的宣言——《天体运行论》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极富浪漫色彩的神魔小说——《西游记》</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一曲人文主义者的悲壮颂歌——《哈姆莱特》</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空想社会主义者构想的理想国度——《太阳城》</w:t>
            </w:r>
          </w:p>
        </w:tc>
      </w:tr>
      <w:tr>
        <w:tblPrEx>
          <w:tblLayout w:type="fixed"/>
          <w:tblCellMar>
            <w:top w:w="0" w:type="dxa"/>
            <w:left w:w="0" w:type="dxa"/>
            <w:bottom w:w="0" w:type="dxa"/>
            <w:right w:w="0" w:type="dxa"/>
          </w:tblCellMar>
        </w:tblPrEx>
        <w:trPr>
          <w:trHeight w:val="3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38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《哈姆莱特》、骑士文学的终结之作——《堂吉诃德》</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39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归纳逻辑的奠基之作——《新工具》</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开启物理学大门的巨著——《关于托勒密和哥白尼两大世界体系的对话》</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超人智慧杰作——《自然哲学的数学原理》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西方政治思想的理论著作——《政府论》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法国资产阶级革命的宣言书——《哲学通信》</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近代经验论的压轴之作——《人性论》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理性与自由的法典——《论法的精神》</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经济学世上的奇迹——《经济表》</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欧洲资产阶级的福音书——《社会契约论》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吹响北美独立运动的战斗号角——《常识》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49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经济学的不朽名作——《国富论》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哲学史上的“哥白尼式”的革命——《纯粹理性批判》</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中国古典文学的最高成就之作——《红楼梦》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近代人口论理论——《人口原理》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典型资产阶级社会的民法典——《拿破仑法典》</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对人类精神的“探险旅行”——《精神现象学》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唯意志论者的开山之作——《作为意志和表象的世界》</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盛赞劳动的经典之作——《论实业制度》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批判现实主义的杰作——《红与黑》</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一部时代精神的发展史——《浮士德》</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59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具辩证法思想的军事著作——《战争论》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十九世纪法国社会的风俗史——《人间喜剧》</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全世界无产阶级革命的共同纲领——《共产党宣言》</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西方经济理论的结晶——《政治经济学原理》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科学与上帝的较量——《物种起源》</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描述劳动人民悲惨命运的巨著——《悲惨世界》</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俄国第一部市民小说——《罪与恶》</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现代最伟大的经济学文献——《资本论》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被誉为是世界上最伟大的小说——《战争与和平》</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日本近代启蒙思想经典——《文明论概略》</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69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新古典经济学的代表作——《经济学原理》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唯意志主义的尼采哲学——《权力意志》</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无产阶级革命斗争的教科书——《母亲》</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资产阶级实用主义的基石——《实用主义》</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西方现代派文学的圭臬——《变形记》</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一部英雄战士的交响曲——《约翰.克利斯朵夫》</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亚洲第一部获诺贝尔文学奖的巨著——《吉檀迦利》</w:t>
            </w:r>
          </w:p>
        </w:tc>
      </w:tr>
      <w:tr>
        <w:tblPrEx>
          <w:tblLayout w:type="fixed"/>
          <w:tblCellMar>
            <w:top w:w="0" w:type="dxa"/>
            <w:left w:w="0" w:type="dxa"/>
            <w:bottom w:w="0" w:type="dxa"/>
            <w:right w:w="0" w:type="dxa"/>
          </w:tblCellMar>
        </w:tblPrEx>
        <w:trPr>
          <w:trHeight w:val="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现代物理学最伟大的发现——《狭义与广义相对论浅说》</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近代教育史上的一座里程碑——《民主主义与教育》</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精神分析学派的奠基文献——《精神分析引论》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79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指导十月革命的国家学说经典——《国家与革命》</w:t>
            </w:r>
          </w:p>
        </w:tc>
      </w:tr>
      <w:tr>
        <w:tblPrEx>
          <w:tblLayout w:type="fixed"/>
          <w:tblCellMar>
            <w:top w:w="0" w:type="dxa"/>
            <w:left w:w="0" w:type="dxa"/>
            <w:bottom w:w="0" w:type="dxa"/>
            <w:right w:w="0" w:type="dxa"/>
          </w:tblCellMar>
        </w:tblPrEx>
        <w:trPr>
          <w:trHeight w:val="33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反映资产阶级价值观的圣书——《新教伦理与资本主义精神》</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唤醒国民灵魂的钟声——《阿Q正传》</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西方马克思主义的圣经——《历史与阶级意识》</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西方马克思主义的奠基之作——《马克思主义和哲学》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被誉为美国最伟大的小说——《美国的悲剧》</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文化形态史观的最早巨著——《历史研究》</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中国革命理论的科学论著——《新民主主义论》</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二十世纪西方人学的杰作——《逃避自由》</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哲学领域的高层次之作——《存在与虚无》</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89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中国现代文坛上的长篇力作——《围城》</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西方经济学全书——《经济学》</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91</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西方妇女的“圣经”——《第二性》</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92</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一代青年运动的教科书——《爱欲与文明》</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93</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人与自然搏斗的壮歌——《老人与海》</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94</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分析哲学史上的里程碑——《哲学研究》</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95</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神学奇书——《禅宗》</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96</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二十世纪惊世名著——《铁皮鼓》</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97</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引起世界文坛地震的巨作——《百年孤独》</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98</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天下第一奇书——《周易》</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99</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中国最早的诗歌总集——《诗经》</w:t>
            </w:r>
          </w:p>
        </w:tc>
      </w:tr>
      <w:tr>
        <w:tblPrEx>
          <w:tblLayout w:type="fixed"/>
          <w:tblCellMar>
            <w:top w:w="0" w:type="dxa"/>
            <w:left w:w="0" w:type="dxa"/>
            <w:bottom w:w="0" w:type="dxa"/>
            <w:right w:w="0" w:type="dxa"/>
          </w:tblCellMar>
        </w:tblPrEx>
        <w:trPr>
          <w:trHeight w:val="3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100</w:t>
            </w:r>
          </w:p>
        </w:tc>
        <w:tc>
          <w:tcPr>
            <w:tcW w:w="7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444444"/>
                <w:sz w:val="24"/>
                <w:szCs w:val="24"/>
              </w:rPr>
            </w:pPr>
            <w:r>
              <w:rPr>
                <w:rFonts w:hint="eastAsia" w:ascii="宋体" w:hAnsi="宋体" w:eastAsia="宋体" w:cs="宋体"/>
                <w:color w:val="444444"/>
                <w:kern w:val="0"/>
                <w:sz w:val="24"/>
                <w:szCs w:val="24"/>
              </w:rPr>
              <w:t>欧洲第一部文学巨著——《荷马史诗》</w:t>
            </w:r>
          </w:p>
        </w:tc>
      </w:tr>
    </w:tbl>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ind w:firstLine="42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rPr>
          <w:rStyle w:val="5"/>
          <w:rFonts w:asciiTheme="minorEastAsia" w:hAnsiTheme="minorEastAsia" w:cstheme="minorEastAsia"/>
          <w:color w:val="333333"/>
          <w:szCs w:val="24"/>
          <w:shd w:val="clear" w:color="auto" w:fill="FFFFFF"/>
        </w:rPr>
      </w:pPr>
    </w:p>
    <w:p>
      <w:pPr>
        <w:pStyle w:val="2"/>
        <w:widowControl/>
        <w:shd w:val="clear" w:color="auto" w:fill="FFFFFF"/>
        <w:spacing w:beforeAutospacing="0" w:afterAutospacing="0" w:line="360" w:lineRule="auto"/>
        <w:rPr>
          <w:rStyle w:val="5"/>
          <w:rFonts w:asciiTheme="minorEastAsia" w:hAnsiTheme="minorEastAsia" w:cstheme="minorEastAsia"/>
          <w:color w:val="333333"/>
          <w:sz w:val="28"/>
          <w:szCs w:val="28"/>
          <w:shd w:val="clear" w:color="auto" w:fill="FFFFFF"/>
        </w:rPr>
      </w:pPr>
      <w:r>
        <w:rPr>
          <w:rStyle w:val="5"/>
          <w:rFonts w:hint="eastAsia" w:asciiTheme="minorEastAsia" w:hAnsiTheme="minorEastAsia" w:cstheme="minorEastAsia"/>
          <w:color w:val="333333"/>
          <w:sz w:val="28"/>
          <w:szCs w:val="28"/>
          <w:shd w:val="clear" w:color="auto" w:fill="FFFFFF"/>
        </w:rPr>
        <w:t>附件2：适合大学生看的书籍推荐</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1、经典大学生人生规划的书籍</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《成长比成功重要》</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《做最好的自己》</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《平凡的世界》</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2、大学生必读的史学书目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《全球通史—从史前史到21世纪》</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《大国崛起系列丛书》</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《万历十五年》</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《明朝那些事》</w:t>
      </w:r>
      <w:bookmarkStart w:id="0" w:name="_GoBack"/>
      <w:bookmarkEnd w:id="0"/>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《流血的仕途：李斯与秦帝国》</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3、推荐给大学生的哲学书目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冯友兰著《中国哲学简史》</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罗素著《西方哲学史》</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从《理想国》到《正义论》轻松读懂27部西方哲学经典</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《柏拉图的哲学》</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《世界文明史》 [美]艾德华等著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《科学史》 [英]丹皮尔著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《历史研究》 [英]汤因比著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《文明论概略》 [日]福泽谕吉</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《文化科学和自然科学》 [德]李凯尔特著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《西方哲学史》 [英]罗素著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《西方哲学原著选读》 北京大学哲学系编译</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《资本主义文化矛盾》 [美]贝尔著</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4、推荐给大学生的政治学书目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拜因著，上册盛葵阳、崔妙因译，下册刘山译的《政治学说史》</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余英时著《朱熹的历史世界》</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托克维尔 董国良译《论美国的民主》</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5、推荐给大学生的经济学书目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《经济学原理》 曼昆</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《经济史理论》约翰•希克斯著 厉以平译</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《卓有成效的管理者》</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6、推荐给大学生的伦理学书目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《伦理学与生活》 雅克•蒂洛 基思•克拉斯曼著 程立显等译</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《时间简史》(英)霍金著 吴忠超等译的</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7、推荐给大学生的社会学书目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《乡土中国•计划生育》费孝通</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《菊与刀》(美)鲁思•本尼迪克特</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8、推荐给大学生的文学书目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《生命中不能承受之轻》 昆德拉(法)</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《追忆似水年华》普斯特著 李恒基等译</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《老人与海》海明威</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9、推荐给大学生的 教育学书</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《伟大的书》 大卫•丹比著，曹雅翻译</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10、推荐给大学生的法学书目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《普通法的精神》罗斯科•庞德 唐前宏，廖湘文，高雪原译</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11、推荐给大学生的艺术欣赏书目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《大学生公共艺术欣赏》 何军</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《西方名画里的历史与神话》 池钶主编</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《论音乐的美》 (奥)汉斯立克著 杨业治译</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《电影是什么》 (法)巴赞著，崔军垳译</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12、推荐给大学生的人生修养类书籍</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曾国藩《曾国藩家书》</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洪应明《菜根谭》</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周国平《人与永恒》</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毕淑敏《毕淑敏小说》《毕淑敏散文》</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余秋雨《晨雨初听》</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13、推荐给大学生的情感类书籍</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毕淑敏《性别按钮》</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(美)格雷 白莲译《男人约会往北，女人约会往南》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(美)格雷 于海生译《男人来自火星，女人来自金星》</w:t>
      </w:r>
    </w:p>
    <w:p>
      <w:pPr>
        <w:pStyle w:val="2"/>
        <w:widowControl/>
        <w:shd w:val="clear" w:color="auto" w:fill="FFFFFF"/>
        <w:spacing w:beforeAutospacing="0" w:afterAutospacing="0" w:line="360" w:lineRule="auto"/>
        <w:rPr>
          <w:rFonts w:asciiTheme="minorEastAsia" w:hAnsiTheme="minorEastAsia" w:cstheme="minorEastAsia"/>
          <w:color w:val="333333"/>
          <w:szCs w:val="24"/>
        </w:rPr>
      </w:pPr>
      <w:r>
        <w:rPr>
          <w:rStyle w:val="5"/>
          <w:rFonts w:hint="eastAsia" w:asciiTheme="minorEastAsia" w:hAnsiTheme="minorEastAsia" w:cstheme="minorEastAsia"/>
          <w:color w:val="333333"/>
          <w:szCs w:val="24"/>
          <w:shd w:val="clear" w:color="auto" w:fill="FFFFFF"/>
        </w:rPr>
        <w:t>14、北大清华推荐的大学生必读的30本经典书籍</w:t>
      </w:r>
    </w:p>
    <w:p>
      <w:pPr>
        <w:pStyle w:val="2"/>
        <w:widowControl/>
        <w:shd w:val="clear" w:color="auto" w:fill="FFFFFF"/>
        <w:spacing w:beforeAutospacing="0" w:afterAutospacing="0" w:line="360" w:lineRule="auto"/>
        <w:ind w:firstLine="482" w:firstLineChars="200"/>
        <w:rPr>
          <w:rFonts w:asciiTheme="minorEastAsia" w:hAnsiTheme="minorEastAsia" w:cstheme="minorEastAsia"/>
          <w:color w:val="333333"/>
          <w:szCs w:val="24"/>
          <w:shd w:val="clear" w:color="auto" w:fill="FFFFFF"/>
        </w:rPr>
      </w:pPr>
      <w:r>
        <w:rPr>
          <w:rFonts w:hint="eastAsia" w:asciiTheme="minorEastAsia" w:hAnsiTheme="minorEastAsia" w:cstheme="minorEastAsia"/>
          <w:b/>
          <w:bCs/>
          <w:color w:val="333333"/>
          <w:szCs w:val="24"/>
          <w:shd w:val="clear" w:color="auto" w:fill="FFFFFF"/>
        </w:rPr>
        <w:t>No.1 《追寻生命的意义》</w:t>
      </w:r>
    </w:p>
    <w:p>
      <w:pPr>
        <w:pStyle w:val="2"/>
        <w:widowControl/>
        <w:shd w:val="clear" w:color="auto" w:fill="FFFFFF"/>
        <w:spacing w:beforeAutospacing="0" w:afterAutospacing="0" w:line="360" w:lineRule="auto"/>
        <w:ind w:firstLine="480" w:firstLineChars="200"/>
        <w:rPr>
          <w:rFonts w:asciiTheme="minorEastAsia" w:hAnsiTheme="minorEastAsia" w:cstheme="minorEastAsia"/>
          <w:color w:val="333333"/>
          <w:szCs w:val="24"/>
          <w:shd w:val="clear" w:color="auto" w:fill="FFFFFF"/>
        </w:rPr>
      </w:pPr>
      <w:r>
        <w:rPr>
          <w:rFonts w:hint="eastAsia" w:asciiTheme="minorEastAsia" w:hAnsiTheme="minorEastAsia" w:cstheme="minorEastAsia"/>
          <w:color w:val="333333"/>
          <w:szCs w:val="24"/>
          <w:shd w:val="clear" w:color="auto" w:fill="FFFFFF"/>
        </w:rPr>
        <w:t>维克多·弗兰克(著)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b/>
          <w:bCs/>
          <w:color w:val="333333"/>
          <w:szCs w:val="24"/>
          <w:shd w:val="clear" w:color="auto" w:fill="FFFFFF"/>
        </w:rPr>
      </w:pPr>
      <w:r>
        <w:rPr>
          <w:rFonts w:hint="eastAsia" w:asciiTheme="minorEastAsia" w:hAnsiTheme="minorEastAsia" w:cstheme="minorEastAsia"/>
          <w:color w:val="333333"/>
          <w:szCs w:val="24"/>
          <w:shd w:val="clear" w:color="auto" w:fill="FFFFFF"/>
        </w:rPr>
        <w:t>弗兰克是20世纪著名的心理学家。纳粹时期，作为犹太人，他的全家都被关进了奥斯维辛集中营，他的父母、妻子、哥哥全都死于毒气室中，只有他和妹妹幸存。本书的第一部分叙述了弗兰克的集中营经历，第二部分阐述了他的“意义疗法”。本书不仅适合于心理学爱好者，也适合面临挑战希望寻找生命意义的人们。</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 《拖延心理学》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简·博克、莱诺拉·袁 (著)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你想要向拖延的恶习开刀吗?这两位加利福尼亚心理学家在她们治疗拖延者的实践中精准地捕捉到了拖延的根本原因。这本书可以帮助读者减轻拖延，更好地享受生活。</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No.3 《梦的解析》</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弗洛伊德(著)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被誉为精神分析第一名著。它通过对梦境的科学探索和解释，打破了几千年来人类对梦的无知、迷信和神秘感，同时揭示了左右人们思想和行为的潜意识。</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No.4 《如何阅读一本书》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莫提默·J. 艾德勒 / 查尔斯·范多伦(著)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不懂阅读的人，初探阅读的人，读这本书可以少走冤枉路。对阅读有所体会的人，读这本书可以有更深的印证和领悟。本书介绍了阅读的三个层次，对每个层次都进行了细致的指导，是一本非常实用的读书用手册。</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No.5 《影响力》</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罗伯特·西奥迪尼(著)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政治家运用影响力来赢得选举，商人运用影响力来兜售商品，推销员运用影响力诱惑你乖乖地把金钱捧上。即使你的朋友和家人，不知不觉之间，也会把影响力用到你的身上。但到底是为什么，当一个要求用不同的方式提出来时，你的反应就会从负面抵抗变成积极合作呢?</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No.6 《红楼梦》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曹雪芹(著)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如果说每个西方人心中都有一个哈姆雷特，那么每一个中国人心中都有他自己的贾宝玉、林黛玉、薛宝钗。这本书以宝黛爱情悲剧为主线 ，展开了一个繁复盛大的封建大家庭的世界。远不止此，儒家、道家、佛家的思想都在此体现，历史学家、文学家、哲学家都在书里看到了他们想要看到的。</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No.7 《设计心理学》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唐纳德·A·诺曼(著)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b/>
          <w:bCs/>
          <w:color w:val="333333"/>
          <w:szCs w:val="24"/>
          <w:shd w:val="clear" w:color="auto" w:fill="FFFFFF"/>
        </w:rPr>
      </w:pPr>
      <w:r>
        <w:rPr>
          <w:rFonts w:hint="eastAsia" w:asciiTheme="minorEastAsia" w:hAnsiTheme="minorEastAsia" w:cstheme="minorEastAsia"/>
          <w:color w:val="333333"/>
          <w:szCs w:val="24"/>
          <w:shd w:val="clear" w:color="auto" w:fill="FFFFFF"/>
        </w:rPr>
        <w:t>本书是对产品设计感兴趣同学的必读书。诺曼博士本书中强调以使用者为中心的设计哲学，提醒消费者在挑选的物品，必须要方便好用，易于理解，希望设计师在注重设计美感的同时，不要忽略设计的一些必要因素，因为对于产品设计来说，安全好用永远是竞争的关键。</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No.8 《小王子》</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安东尼·德·圣埃克苏佩里(著)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圣埃克苏佩里是一个传奇飞行家，他的书中以以为飞行员作为故事叙述者，讲述了小王子从自己星球出发前往地球的过程中，所经历的各种历险。小王子的孩子式的眼光，看到了成人的空虚、盲目和愚妄，记下了人类的孤独寂寞、没有根基随风流浪的命运。</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No.9 《策略思维》</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阿维纳什·K·迪克西特 / 巴里·J·奈尔伯夫(著)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耶鲁大学教授奈尔伯夫和普林斯顿大学教授迪克西特的这本著作，用许多活生生的例子，向没有经济学基础的读者展示了博弈论策略思维的道理。人生是一个永不停息的决策过程。这本书不仅适合对博弈论感兴趣的同学，也同样适合所有希望让生活决策更有条理的同学。</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No.10 《无价》</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威廉·庞德斯通(著)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为什么免费的巧克力让我们疯狂?为什么百老汇剧场里价格越高的位置卖得越火?为什么100 万美元带来的愉悦感，400万美元才能让它翻倍?为什么议价时，一定要抢先报价，而且一定要狮子大开口?威廉·庞德斯通告诉我们答案：价格只是一场集体幻觉。如果你想了解价格的秘密，就来读这本书吧!</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No.11 《浅薄》</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尼古拉斯·卡尔(著)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谷歌在把我们变傻吗?”当尼古拉斯•卡尔在发表于《大西洋月刊》上赫赫有名的那篇封面文章中提出这个问题的时候，他就开启了人们热切渴望的期盼源泉，让人急于弄清楚互联网是在如何改变我们的。这本书会让你看到互联网对我们的影响的另一面。</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No.12 《定位》</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艾·里斯 / 杰克·特劳特(著)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20多年前，美国《广告时代》杂志约请年轻的营销专家里斯和特劳特撰写一系列有关营销和广告新思维的文章，总标题就是“定位的时代”。系列文章刊载之后，引起全行业的轰动，定位成了营销界人人谈论的热闹话题。本书适合所有对商业感兴趣的同学阅读。</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No.13 《史记》</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司马迁(著)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史记》是一本丰富多彩的生动的人物画卷，其中有一定性格的人物形象不下一百多个，而这些人物形象又大都带有一种后代任何写人文学所没有的突出特点。面对这样一本记录中华之根的煌煌巨著，你还等什么?</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No.14 《社会契约论》</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卢梭(著)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本书中主权在民的思想，是现代民主制度的基石，深刻地影响了逐步废除欧洲君主绝对权力的运动，和18世纪末北美殖民地摆脱英帝国统治、建立民主制度的斗争。美国《独立宣言》和法国的《人权宣言》均体现了本书的民主思想。</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No.15 《目送》</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龙应台(著)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目送共由七十四篇散文组成，是为一本极具亲情、感人至深的文集。由父亲的逝世、母亲的苍老、儿子的离开、朋友的牵挂、兄弟的携手共行，写出失败和脆弱、失落和放手，写出缠绵不舍和绝然的虚无。</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No.16 《欢乐的经济学》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戴维·亨德森(著)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这是一本通过对作者亲身经历进行生动有趣的分析，向读者普及经济学思维、传达自由至上理念的书。</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No.17 《1984》</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乔治•奥威尔(著)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b/>
          <w:bCs/>
          <w:color w:val="333333"/>
          <w:szCs w:val="24"/>
          <w:shd w:val="clear" w:color="auto" w:fill="FFFFFF"/>
        </w:rPr>
      </w:pPr>
      <w:r>
        <w:rPr>
          <w:rFonts w:hint="eastAsia" w:asciiTheme="minorEastAsia" w:hAnsiTheme="minorEastAsia" w:cstheme="minorEastAsia"/>
          <w:color w:val="333333"/>
          <w:szCs w:val="24"/>
          <w:shd w:val="clear" w:color="auto" w:fill="FFFFFF"/>
        </w:rPr>
        <w:t>《1984》是一部杰出的政治寓言小说，也是一部幻想小说。作品刻画了人类在极权主义社会的生存状态，有若一个永不退色的警示标签，警醒世人提防这种预想中的黑暗成为现实。历经几十年，其生命力益显强大，被誉为20世纪影响</w:t>
      </w:r>
      <w:r>
        <w:rPr>
          <w:rFonts w:hint="eastAsia" w:asciiTheme="minorEastAsia" w:hAnsiTheme="minorEastAsia" w:cstheme="minorEastAsia"/>
          <w:b/>
          <w:bCs/>
          <w:color w:val="333333"/>
          <w:szCs w:val="24"/>
          <w:shd w:val="clear" w:color="auto" w:fill="FFFFFF"/>
        </w:rPr>
        <w:t>最</w:t>
      </w:r>
      <w:r>
        <w:rPr>
          <w:rFonts w:hint="eastAsia" w:asciiTheme="minorEastAsia" w:hAnsiTheme="minorEastAsia" w:cstheme="minorEastAsia"/>
          <w:color w:val="333333"/>
          <w:szCs w:val="24"/>
          <w:shd w:val="clear" w:color="auto" w:fill="FFFFFF"/>
        </w:rPr>
        <w:t>为深远的文学经典之一。</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No.18 《孙子兵法》</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孙武(著)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《孙子兵法》是中国古典军事文化遗产中的璀璨瑰宝，是中国优秀文化传统的重要组成部分，是世界三大兵书之一。</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No.19 《Facebook效应》</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大卫·柯克帕特里克 (著)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本书作者近距离地采访了与Facebook相关的人士，其中包括Facebook的创始人、员工、投资人、意向投资人以及合作伙伴，加起来超过了130人。这是真切详实的访谈，更是超级精彩的故事。该书值得所有希望了解互联网和新媒体的同学深入了解。</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No.20 《资本论》</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马克思(著)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该书是马克思用毕生的心血写成的一部光辉灿烂的科学巨著，科学巨著第一次深刻地分析了资本主义的全部发展过程，以数学般的准确性证明这一发展的方向必然引导到社会主义革命和无产阶级专政的确立。研究各种学科的知识分子都应该读读这部巨著。</w:t>
      </w:r>
    </w:p>
    <w:p>
      <w:pPr>
        <w:pStyle w:val="2"/>
        <w:widowControl/>
        <w:shd w:val="clear" w:color="auto" w:fill="FFFFFF"/>
        <w:spacing w:beforeAutospacing="0" w:afterAutospacing="0" w:line="360" w:lineRule="auto"/>
        <w:ind w:firstLine="241" w:firstLineChars="1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No.21 《山海经》</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中国先秦古书，富于神话传说的最古老的地理书，中国的许多传统古书根源都在《山海经》之中，其对古代历史、地理、文化、中外交通、民俗、神话等研究，均有重要的参考价值。一代又一代士人的启蒙书籍，也是我们这个时代的人回溯本源所应当读的。</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No.22 《牛奶可乐经济学》</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罗伯特·弗兰克(著)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为什么牛奶装在方盒子里卖，可乐却装在圆瓶子里卖?为什么很多酒吧喝水要钱，却又提供免费花生米?这不是一部让人读得头疼的教科书，而是一部点滴生活小智慧合集。作者擅长用经济学方法将生活中的故事娓娓道来，这是一部没有阅读门槛、却能从中获得生活智慧的另类经济学书籍。</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No.23 《老人与海》</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海明威(著)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海明威最著名的作品之一，它围绕着一位老年渔夫与一条巨大的马林鱼在离岸很远的湾流中搏斗的故事。海明威电报式的简洁有力的写作风格，“冰山”原则指导下的荡人心魄的描写，都在这篇文章中得到了淋漓尽致的展现。海上捕鱼老人的拼搏、勇毅、不屈服，让每个人心中都波涛汹涌。</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No.24 《国富论》</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亚当·斯密(著)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亚当·斯密并不是经济学说的最早开拓者，他最著名的思想中有许多也并非新颖独特，但是他首次提出了全面系统的经济学说，为该领域的发展打下了良好的基础。因此完全可以说《国富论》是现代政治经济学研究的起点。</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No.25 《百年孤独》</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加西亚•马尔克斯(著)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No.26 《玩偶之家》</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易卜生(著)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b/>
          <w:bCs/>
          <w:color w:val="333333"/>
          <w:szCs w:val="24"/>
          <w:shd w:val="clear" w:color="auto" w:fill="FFFFFF"/>
        </w:rPr>
      </w:pPr>
      <w:r>
        <w:rPr>
          <w:rFonts w:hint="eastAsia" w:asciiTheme="minorEastAsia" w:hAnsiTheme="minorEastAsia" w:cstheme="minorEastAsia"/>
          <w:color w:val="333333"/>
          <w:szCs w:val="24"/>
          <w:shd w:val="clear" w:color="auto" w:fill="FFFFFF"/>
        </w:rPr>
        <w:t>娜拉是个具有资产阶级个性、思想解放的叛逆女性，伴随着一系列事件，她与丈夫海尔茂的矛盾逐渐激化直至两个人分手。她对社会的背叛和弃家出走，被誉为妇女解放的“独立宣言”，易卜生高超的戏剧创作手法也在这部著作中得到体现。</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No.27 《资治通鉴》</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司马光(著)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b/>
          <w:bCs/>
          <w:color w:val="333333"/>
          <w:sz w:val="21"/>
          <w:szCs w:val="21"/>
          <w:shd w:val="clear" w:color="auto" w:fill="FFFFFF"/>
        </w:rPr>
      </w:pPr>
      <w:r>
        <w:rPr>
          <w:rFonts w:hint="eastAsia" w:asciiTheme="minorEastAsia" w:hAnsiTheme="minorEastAsia" w:cstheme="minorEastAsia"/>
          <w:color w:val="333333"/>
          <w:szCs w:val="24"/>
          <w:shd w:val="clear" w:color="auto" w:fill="FFFFFF"/>
        </w:rPr>
        <w:t>书中描绘了战略至五代期间的历史发展脉络，探讨了秦、汉、晋、隋、唐等时期政权的盛衰之由，生动地刻画了帝王将相们的为政治国、待人处世之道，以及他们在历史旋涡中的生死悲欢。时至今日，《资治通鉴》仍是一本了解和学习中国历史的必读之书。</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No.28 《红与黑》</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司汤达(著)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小说围绕主人公于连个人奋斗的经历与最终失败，尤其是他的两次爱情的描写，广泛地展现了“19世纪初30年间压在法国人民头上的历届政府所带来的社会风气”，强烈地抨击了复辟王朝时期贵族的反动，教会的黑暗和资产阶级新贵的卑鄙庸俗，利欲熏心。</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No.29 《人性的弱点》</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戴尔·卡耐基 (著)</w:t>
      </w:r>
    </w:p>
    <w:p>
      <w:pPr>
        <w:pStyle w:val="2"/>
        <w:widowControl/>
        <w:shd w:val="clear" w:color="auto" w:fill="FFFFFF"/>
        <w:spacing w:beforeAutospacing="0" w:afterAutospacing="0" w:line="360" w:lineRule="auto"/>
        <w:ind w:firstLine="240" w:firstLineChars="10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世界成功学第一书”，作者被誉为美国“成人教育”之父，他运用社会学和心理学知识，对人性进行了深刻的探讨和分析。他讲述的许多普通人通过奋斗获得成功的真实故事，激励了无数陷入迷茫和困境的人，帮助他们重新找到了自己的人生。</w:t>
      </w:r>
    </w:p>
    <w:p>
      <w:pPr>
        <w:pStyle w:val="2"/>
        <w:widowControl/>
        <w:shd w:val="clear" w:color="auto" w:fill="FFFFFF"/>
        <w:spacing w:beforeAutospacing="0" w:afterAutospacing="0" w:line="360" w:lineRule="auto"/>
        <w:ind w:firstLine="482" w:firstLineChars="200"/>
        <w:rPr>
          <w:rFonts w:asciiTheme="minorEastAsia" w:hAnsiTheme="minorEastAsia" w:cstheme="minorEastAsia"/>
          <w:b/>
          <w:bCs/>
          <w:color w:val="333333"/>
          <w:szCs w:val="24"/>
          <w:shd w:val="clear" w:color="auto" w:fill="FFFFFF"/>
        </w:rPr>
      </w:pPr>
      <w:r>
        <w:rPr>
          <w:rFonts w:hint="eastAsia" w:asciiTheme="minorEastAsia" w:hAnsiTheme="minorEastAsia" w:cstheme="minorEastAsia"/>
          <w:b/>
          <w:bCs/>
          <w:color w:val="333333"/>
          <w:szCs w:val="24"/>
          <w:shd w:val="clear" w:color="auto" w:fill="FFFFFF"/>
        </w:rPr>
        <w:t>No.30 《悲惨世界》</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雨果(著)</w:t>
      </w:r>
    </w:p>
    <w:p>
      <w:pPr>
        <w:pStyle w:val="2"/>
        <w:widowControl/>
        <w:shd w:val="clear" w:color="auto" w:fill="FFFFFF"/>
        <w:spacing w:beforeAutospacing="0" w:afterAutospacing="0" w:line="360" w:lineRule="auto"/>
        <w:ind w:firstLine="420"/>
        <w:rPr>
          <w:rFonts w:asciiTheme="minorEastAsia" w:hAnsiTheme="minorEastAsia" w:cstheme="minorEastAsia"/>
          <w:color w:val="333333"/>
          <w:szCs w:val="24"/>
        </w:rPr>
      </w:pPr>
      <w:r>
        <w:rPr>
          <w:rFonts w:hint="eastAsia" w:asciiTheme="minorEastAsia" w:hAnsiTheme="minorEastAsia" w:cstheme="minorEastAsia"/>
          <w:color w:val="333333"/>
          <w:szCs w:val="24"/>
          <w:shd w:val="clear" w:color="auto" w:fill="FFFFFF"/>
        </w:rPr>
        <w:t>故事的主线围绕主人公获释罪犯冉·阿让试图赎罪的历程，融进了法国的历史、建筑、政治、道德哲学、法律、正义、宗教信仰。文中真实的故事，丰富的人物内心和故事包涵的深刻意义，使读者们都体会到作品有一种深远的分量，也让一代代人深深感动。</w:t>
      </w:r>
    </w:p>
    <w:p>
      <w:pPr>
        <w:spacing w:line="360" w:lineRule="auto"/>
        <w:ind w:firstLine="480" w:firstLineChars="20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33FC5"/>
    <w:rsid w:val="37533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2019-05-28T00:26:00Z</dcterms:created>
  <dc:creator>Fortunate</dc:creator>
  <cp:lastModifiedBy>Fortunate</cp:lastModifiedBy>
  <dcterms:modified xsi:type="dcterms:W3CDTF">2019-05-28T00:27:25Z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